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4805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292A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58752" behindDoc="0" locked="0" layoutInCell="1" allowOverlap="1" wp14:anchorId="28C2B541" wp14:editId="50B05947">
            <wp:simplePos x="0" y="0"/>
            <wp:positionH relativeFrom="column">
              <wp:posOffset>4258945</wp:posOffset>
            </wp:positionH>
            <wp:positionV relativeFrom="paragraph">
              <wp:posOffset>12700</wp:posOffset>
            </wp:positionV>
            <wp:extent cx="730192" cy="752475"/>
            <wp:effectExtent l="0" t="0" r="0" b="0"/>
            <wp:wrapNone/>
            <wp:docPr id="4" name="Grafik 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594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480594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</w:p>
    <w:p w:rsidR="008B5B24" w:rsidRDefault="00480594" w:rsidP="00EB6D2C">
      <w:pPr>
        <w:spacing w:before="69"/>
        <w:jc w:val="both"/>
        <w:rPr>
          <w:rFonts w:ascii="Arial" w:eastAsia="Arial" w:hAnsi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415282">
        <w:rPr>
          <w:color w:val="818181"/>
          <w:spacing w:val="-1"/>
          <w:sz w:val="24"/>
        </w:rPr>
        <w:t>ie</w:t>
      </w:r>
      <w:r w:rsidR="001A2CDA">
        <w:rPr>
          <w:color w:val="818181"/>
          <w:spacing w:val="-1"/>
          <w:sz w:val="24"/>
        </w:rPr>
        <w:t xml:space="preserve"> </w:t>
      </w:r>
      <w:proofErr w:type="spellStart"/>
      <w:r w:rsidR="007F739C">
        <w:rPr>
          <w:color w:val="818181"/>
          <w:spacing w:val="-1"/>
          <w:sz w:val="24"/>
        </w:rPr>
        <w:t>Karausche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EB6D2C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noProof/>
        </w:rPr>
        <w:t xml:space="preserve">                                       </w:t>
      </w:r>
      <w:r w:rsidR="007F739C">
        <w:rPr>
          <w:noProof/>
        </w:rPr>
        <w:drawing>
          <wp:inline distT="0" distB="0" distL="0" distR="0">
            <wp:extent cx="3032815" cy="186753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99" cy="186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DA" w:rsidRDefault="00C57108" w:rsidP="00EB6D2C">
      <w:pPr>
        <w:pStyle w:val="berschrift11"/>
        <w:spacing w:line="293" w:lineRule="exact"/>
        <w:ind w:left="0"/>
        <w:jc w:val="center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Karpfen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fische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3F1A7A">
        <w:rPr>
          <w:i w:val="0"/>
          <w:color w:val="595958"/>
          <w:spacing w:val="-1"/>
          <w:sz w:val="23"/>
          <w:szCs w:val="23"/>
          <w:lang w:val="de-DE"/>
        </w:rPr>
        <w:t>Cyprin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idae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3F1A7A">
        <w:rPr>
          <w:i w:val="0"/>
          <w:color w:val="595958"/>
          <w:spacing w:val="-1"/>
          <w:sz w:val="23"/>
          <w:szCs w:val="23"/>
          <w:lang w:val="de-DE"/>
        </w:rPr>
        <w:t>Carassius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–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A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Karausche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3F1A7A">
        <w:rPr>
          <w:i w:val="0"/>
          <w:color w:val="595958"/>
          <w:spacing w:val="-1"/>
          <w:sz w:val="23"/>
          <w:szCs w:val="23"/>
          <w:lang w:val="de-DE"/>
        </w:rPr>
        <w:t>Carassius</w:t>
      </w:r>
      <w:proofErr w:type="spellEnd"/>
      <w:r w:rsidR="003F1A7A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3F1A7A">
        <w:rPr>
          <w:i w:val="0"/>
          <w:color w:val="595958"/>
          <w:spacing w:val="-1"/>
          <w:sz w:val="23"/>
          <w:szCs w:val="23"/>
          <w:lang w:val="de-DE"/>
        </w:rPr>
        <w:t>carassius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1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5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3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>0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cm,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max.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40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Mai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t>Juni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563682" w:rsidRDefault="00DA403F" w:rsidP="001A2CDA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</w:p>
    <w:p w:rsidR="00EB6D2C" w:rsidRDefault="00BD0947" w:rsidP="003F1A7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D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ie Karausche besitzt einen </w:t>
      </w:r>
      <w:r>
        <w:rPr>
          <w:i w:val="0"/>
          <w:color w:val="595958"/>
          <w:spacing w:val="-1"/>
          <w:sz w:val="23"/>
          <w:szCs w:val="23"/>
          <w:lang w:val="de-DE"/>
        </w:rPr>
        <w:t>seitlich zusammengedrückten, recht hochrückigen Körper.  Ihr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 Kopf ist </w:t>
      </w:r>
      <w:r>
        <w:rPr>
          <w:i w:val="0"/>
          <w:color w:val="595958"/>
          <w:spacing w:val="-1"/>
          <w:sz w:val="23"/>
          <w:szCs w:val="23"/>
          <w:lang w:val="de-DE"/>
        </w:rPr>
        <w:br/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>relativ klein mit endständige</w:t>
      </w:r>
      <w:r>
        <w:rPr>
          <w:i w:val="0"/>
          <w:color w:val="595958"/>
          <w:spacing w:val="-1"/>
          <w:sz w:val="23"/>
          <w:szCs w:val="23"/>
          <w:lang w:val="de-DE"/>
        </w:rPr>
        <w:t>m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 Maul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, d.h. Ober- und Unterkiefer sind gleich lang. Am Maul sitzen keine </w:t>
      </w:r>
      <w:r w:rsidR="008813AC">
        <w:rPr>
          <w:i w:val="0"/>
          <w:color w:val="595958"/>
          <w:spacing w:val="-1"/>
          <w:sz w:val="23"/>
          <w:szCs w:val="23"/>
          <w:lang w:val="de-DE"/>
        </w:rPr>
        <w:t>Bartfäden</w:t>
      </w:r>
      <w:r w:rsidR="000E534F">
        <w:rPr>
          <w:i w:val="0"/>
          <w:color w:val="595958"/>
          <w:spacing w:val="-1"/>
          <w:sz w:val="23"/>
          <w:szCs w:val="23"/>
          <w:lang w:val="de-DE"/>
        </w:rPr>
        <w:t xml:space="preserve"> (Barteln)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0E534F">
        <w:rPr>
          <w:i w:val="0"/>
          <w:color w:val="595958"/>
          <w:spacing w:val="-1"/>
          <w:sz w:val="23"/>
          <w:szCs w:val="23"/>
          <w:lang w:val="de-DE"/>
        </w:rPr>
        <w:t xml:space="preserve">Die Karausche sieht dem Giebel zum Verwechseln ähnlich. 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Der Übergang des </w:t>
      </w:r>
    </w:p>
    <w:p w:rsidR="00EB6D2C" w:rsidRDefault="003F1A7A" w:rsidP="003F1A7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Kopfes zum Rücken verläuft im Gegensatz zum Giebel </w:t>
      </w:r>
      <w:r w:rsidR="008813AC">
        <w:rPr>
          <w:i w:val="0"/>
          <w:color w:val="595958"/>
          <w:spacing w:val="-1"/>
          <w:sz w:val="23"/>
          <w:szCs w:val="23"/>
          <w:lang w:val="de-DE"/>
        </w:rPr>
        <w:t xml:space="preserve">jedoch </w:t>
      </w:r>
      <w:r w:rsidRPr="003F1A7A">
        <w:rPr>
          <w:i w:val="0"/>
          <w:color w:val="595958"/>
          <w:spacing w:val="-1"/>
          <w:sz w:val="23"/>
          <w:szCs w:val="23"/>
          <w:lang w:val="de-DE"/>
        </w:rPr>
        <w:t>fließend – ebenso ist das Bauchfell der Karausche nicht dunkel pigmentiert. Die hohe und lange Rückenflosse</w:t>
      </w:r>
      <w:r w:rsidR="00EB6D2C">
        <w:rPr>
          <w:i w:val="0"/>
          <w:color w:val="595958"/>
          <w:spacing w:val="-1"/>
          <w:sz w:val="23"/>
          <w:szCs w:val="23"/>
          <w:lang w:val="de-DE"/>
        </w:rPr>
        <w:t xml:space="preserve"> der Karausche</w:t>
      </w:r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 besitzt einen </w:t>
      </w:r>
    </w:p>
    <w:p w:rsidR="00EB6D2C" w:rsidRDefault="003F1A7A" w:rsidP="003F1A7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F1A7A">
        <w:rPr>
          <w:i w:val="0"/>
          <w:color w:val="595958"/>
          <w:spacing w:val="-1"/>
          <w:sz w:val="23"/>
          <w:szCs w:val="23"/>
          <w:lang w:val="de-DE"/>
        </w:rPr>
        <w:t>nach außen gewölbten Rand, sowie meist einen dunklen Fleck an der Schwanzwurzel. Die Schwanz</w:t>
      </w:r>
      <w:r w:rsidR="00EB6D2C">
        <w:rPr>
          <w:i w:val="0"/>
          <w:color w:val="595958"/>
          <w:spacing w:val="-1"/>
          <w:sz w:val="23"/>
          <w:szCs w:val="23"/>
          <w:lang w:val="de-DE"/>
        </w:rPr>
        <w:t>-</w:t>
      </w:r>
    </w:p>
    <w:p w:rsidR="008813AC" w:rsidRDefault="003F1A7A" w:rsidP="003F1A7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proofErr w:type="spellStart"/>
      <w:r w:rsidRPr="003F1A7A">
        <w:rPr>
          <w:i w:val="0"/>
          <w:color w:val="595958"/>
          <w:spacing w:val="-1"/>
          <w:sz w:val="23"/>
          <w:szCs w:val="23"/>
          <w:lang w:val="de-DE"/>
        </w:rPr>
        <w:t>flosse</w:t>
      </w:r>
      <w:proofErr w:type="spellEnd"/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 ist nur leicht eingebuchtet. Das Schuppenkleid ist gelbbraun mit Messingglanz</w:t>
      </w:r>
      <w:r w:rsidR="008813AC">
        <w:rPr>
          <w:i w:val="0"/>
          <w:color w:val="595958"/>
          <w:spacing w:val="-1"/>
          <w:sz w:val="23"/>
          <w:szCs w:val="23"/>
          <w:lang w:val="de-DE"/>
        </w:rPr>
        <w:t>.</w:t>
      </w:r>
    </w:p>
    <w:p w:rsidR="00EB6D2C" w:rsidRDefault="00EE71C5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94B4E">
        <w:rPr>
          <w:i w:val="0"/>
          <w:color w:val="595958"/>
          <w:spacing w:val="-1"/>
          <w:sz w:val="23"/>
          <w:szCs w:val="23"/>
          <w:lang w:val="de-DE"/>
        </w:rPr>
        <w:br/>
      </w:r>
      <w:r w:rsidR="00075BDE" w:rsidRPr="00557981">
        <w:rPr>
          <w:b/>
          <w:i w:val="0"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BD0947" w:rsidRPr="00563682">
        <w:rPr>
          <w:i w:val="0"/>
          <w:color w:val="595958"/>
          <w:spacing w:val="-1"/>
          <w:sz w:val="23"/>
          <w:szCs w:val="23"/>
          <w:lang w:val="de-DE"/>
        </w:rPr>
        <w:t xml:space="preserve">Die Karausche </w:t>
      </w:r>
      <w:r w:rsidR="00BD0947">
        <w:rPr>
          <w:i w:val="0"/>
          <w:color w:val="595958"/>
          <w:spacing w:val="-1"/>
          <w:sz w:val="23"/>
          <w:szCs w:val="23"/>
          <w:lang w:val="de-DE"/>
        </w:rPr>
        <w:t xml:space="preserve">ist ein Süßwasserfisch, der in Mitteleuropa und im nördlichen Asien lebt. Sie ist auch als Moorkarpfen oder Bauernkarpfen bekannt. </w:t>
      </w:r>
      <w:r w:rsidR="000E534F">
        <w:rPr>
          <w:i w:val="0"/>
          <w:color w:val="595958"/>
          <w:spacing w:val="-1"/>
          <w:sz w:val="23"/>
          <w:szCs w:val="23"/>
          <w:lang w:val="de-DE"/>
        </w:rPr>
        <w:t xml:space="preserve">Als 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>Schwarmfisch be</w:t>
      </w:r>
      <w:r w:rsidR="00EB6D2C">
        <w:rPr>
          <w:i w:val="0"/>
          <w:color w:val="595958"/>
          <w:spacing w:val="-1"/>
          <w:sz w:val="23"/>
          <w:szCs w:val="23"/>
          <w:lang w:val="de-DE"/>
        </w:rPr>
        <w:t>wohnt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0E534F">
        <w:rPr>
          <w:i w:val="0"/>
          <w:color w:val="595958"/>
          <w:spacing w:val="-1"/>
          <w:sz w:val="23"/>
          <w:szCs w:val="23"/>
          <w:lang w:val="de-DE"/>
        </w:rPr>
        <w:t xml:space="preserve">sie kleinere 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stehende, warme </w:t>
      </w:r>
    </w:p>
    <w:p w:rsidR="00EB6D2C" w:rsidRDefault="003F1A7A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und </w:t>
      </w:r>
      <w:proofErr w:type="spellStart"/>
      <w:r w:rsidRPr="003F1A7A">
        <w:rPr>
          <w:i w:val="0"/>
          <w:color w:val="595958"/>
          <w:spacing w:val="-1"/>
          <w:sz w:val="23"/>
          <w:szCs w:val="23"/>
          <w:lang w:val="de-DE"/>
        </w:rPr>
        <w:t>pflanzenreiche</w:t>
      </w:r>
      <w:proofErr w:type="spellEnd"/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 Gewässer</w:t>
      </w:r>
      <w:r w:rsidR="000E534F">
        <w:rPr>
          <w:i w:val="0"/>
          <w:color w:val="595958"/>
          <w:spacing w:val="-1"/>
          <w:sz w:val="23"/>
          <w:szCs w:val="23"/>
          <w:lang w:val="de-DE"/>
        </w:rPr>
        <w:t xml:space="preserve"> vor allem </w:t>
      </w:r>
      <w:r w:rsidR="00EB6D2C">
        <w:rPr>
          <w:i w:val="0"/>
          <w:color w:val="595958"/>
          <w:spacing w:val="-1"/>
          <w:sz w:val="23"/>
          <w:szCs w:val="23"/>
          <w:lang w:val="de-DE"/>
        </w:rPr>
        <w:t xml:space="preserve">in den </w:t>
      </w:r>
      <w:r w:rsidR="00E949A1">
        <w:rPr>
          <w:i w:val="0"/>
          <w:color w:val="595958"/>
          <w:spacing w:val="-1"/>
          <w:sz w:val="23"/>
          <w:szCs w:val="23"/>
          <w:lang w:val="de-DE"/>
        </w:rPr>
        <w:t>Flussauen</w:t>
      </w:r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E949A1">
        <w:rPr>
          <w:i w:val="0"/>
          <w:color w:val="595958"/>
          <w:spacing w:val="-1"/>
          <w:sz w:val="23"/>
          <w:szCs w:val="23"/>
          <w:lang w:val="de-DE"/>
        </w:rPr>
        <w:t xml:space="preserve">Da es kaum noch Auegewässer gibt, trifft </w:t>
      </w:r>
    </w:p>
    <w:p w:rsidR="00CC3254" w:rsidRDefault="00E949A1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man sie in unscheinbaren Teichen und Tümpeln an wie z.B. Waldweiher, Ententeiche, verlandete Karpfentümpel und Altwasser. </w:t>
      </w:r>
      <w:r w:rsidR="003F1A7A" w:rsidRPr="003F1A7A">
        <w:rPr>
          <w:i w:val="0"/>
          <w:color w:val="595958"/>
          <w:spacing w:val="-1"/>
          <w:sz w:val="23"/>
          <w:szCs w:val="23"/>
          <w:lang w:val="de-DE"/>
        </w:rPr>
        <w:t>In der Laichzeit werden die klebrigen Eier im Flachbereich an Wasserpflanzen abgelegt. Bei hoher Bestandsdichte und Nahrungsmangel trifft man eine Kümmer</w:t>
      </w:r>
      <w:r w:rsidR="00CC3254">
        <w:rPr>
          <w:i w:val="0"/>
          <w:color w:val="595958"/>
          <w:spacing w:val="-1"/>
          <w:sz w:val="23"/>
          <w:szCs w:val="23"/>
          <w:lang w:val="de-DE"/>
        </w:rPr>
        <w:t>-</w:t>
      </w:r>
    </w:p>
    <w:p w:rsidR="004020E1" w:rsidRDefault="003F1A7A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form, die sogenannte Stein- oder Teichkarausche an. </w:t>
      </w:r>
      <w:r w:rsidR="004020E1">
        <w:rPr>
          <w:i w:val="0"/>
          <w:color w:val="595958"/>
          <w:spacing w:val="-1"/>
          <w:sz w:val="23"/>
          <w:szCs w:val="23"/>
          <w:lang w:val="de-DE"/>
        </w:rPr>
        <w:t xml:space="preserve">Karauschen sind </w:t>
      </w:r>
      <w:r w:rsidR="000E534F" w:rsidRPr="003F1A7A">
        <w:rPr>
          <w:i w:val="0"/>
          <w:color w:val="595958"/>
          <w:spacing w:val="-1"/>
          <w:sz w:val="23"/>
          <w:szCs w:val="23"/>
          <w:lang w:val="de-DE"/>
        </w:rPr>
        <w:t>ausgesprochen widerstands</w:t>
      </w:r>
      <w:r w:rsidR="004020E1">
        <w:rPr>
          <w:i w:val="0"/>
          <w:color w:val="595958"/>
          <w:spacing w:val="-1"/>
          <w:sz w:val="23"/>
          <w:szCs w:val="23"/>
          <w:lang w:val="de-DE"/>
        </w:rPr>
        <w:t>-</w:t>
      </w:r>
    </w:p>
    <w:p w:rsidR="00CC3254" w:rsidRDefault="000E534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F1A7A">
        <w:rPr>
          <w:i w:val="0"/>
          <w:color w:val="595958"/>
          <w:spacing w:val="-1"/>
          <w:sz w:val="23"/>
          <w:szCs w:val="23"/>
          <w:lang w:val="de-DE"/>
        </w:rPr>
        <w:t>fähig</w:t>
      </w:r>
      <w:r w:rsidR="004020E1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>mit geringen Ansprüchen an ihren Lebensraum und an den Sauerstoffgehalt des Wassers. S</w:t>
      </w:r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elbst </w:t>
      </w:r>
    </w:p>
    <w:p w:rsidR="00CC3254" w:rsidRDefault="000E534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F1A7A">
        <w:rPr>
          <w:i w:val="0"/>
          <w:color w:val="595958"/>
          <w:spacing w:val="-1"/>
          <w:sz w:val="23"/>
          <w:szCs w:val="23"/>
          <w:lang w:val="de-DE"/>
        </w:rPr>
        <w:t>ein Trockenfallen des Gewässers ebenso wie ein Durchfrieren im Winter übersteh</w:t>
      </w:r>
      <w:r w:rsidR="004020E1">
        <w:rPr>
          <w:i w:val="0"/>
          <w:color w:val="595958"/>
          <w:spacing w:val="-1"/>
          <w:sz w:val="23"/>
          <w:szCs w:val="23"/>
          <w:lang w:val="de-DE"/>
        </w:rPr>
        <w:t>en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sie</w:t>
      </w:r>
      <w:r w:rsidRPr="003F1A7A">
        <w:rPr>
          <w:i w:val="0"/>
          <w:color w:val="595958"/>
          <w:spacing w:val="-1"/>
          <w:sz w:val="23"/>
          <w:szCs w:val="23"/>
          <w:lang w:val="de-DE"/>
        </w:rPr>
        <w:t>. Hierzu g</w:t>
      </w:r>
      <w:r w:rsidR="004020E1">
        <w:rPr>
          <w:i w:val="0"/>
          <w:color w:val="595958"/>
          <w:spacing w:val="-1"/>
          <w:sz w:val="23"/>
          <w:szCs w:val="23"/>
          <w:lang w:val="de-DE"/>
        </w:rPr>
        <w:t>raben</w:t>
      </w:r>
      <w:r w:rsidRPr="003F1A7A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EB6D2C" w:rsidRDefault="000E534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3F1A7A">
        <w:rPr>
          <w:i w:val="0"/>
          <w:color w:val="595958"/>
          <w:spacing w:val="-1"/>
          <w:sz w:val="23"/>
          <w:szCs w:val="23"/>
          <w:lang w:val="de-DE"/>
        </w:rPr>
        <w:t>sie</w:t>
      </w:r>
      <w:r w:rsidR="00CC3254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Pr="003F1A7A">
        <w:rPr>
          <w:i w:val="0"/>
          <w:color w:val="595958"/>
          <w:spacing w:val="-1"/>
          <w:sz w:val="23"/>
          <w:szCs w:val="23"/>
          <w:lang w:val="de-DE"/>
        </w:rPr>
        <w:t>sich in den schlammigen Boden ein.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bookmarkStart w:id="1" w:name="_GoBack"/>
      <w:bookmarkEnd w:id="1"/>
      <w:r w:rsidR="00EB6D2C">
        <w:rPr>
          <w:i w:val="0"/>
          <w:color w:val="595958"/>
          <w:spacing w:val="-1"/>
          <w:sz w:val="23"/>
          <w:szCs w:val="23"/>
          <w:lang w:val="de-DE"/>
        </w:rPr>
        <w:br/>
      </w:r>
      <w:r w:rsidR="003F1A7A">
        <w:rPr>
          <w:i w:val="0"/>
          <w:color w:val="595958"/>
          <w:spacing w:val="-1"/>
          <w:sz w:val="23"/>
          <w:szCs w:val="23"/>
          <w:lang w:val="de-DE"/>
        </w:rPr>
        <w:br/>
      </w:r>
      <w:r w:rsidR="00606F2F" w:rsidRPr="00557981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2" w:name="Einst_in_Bayern_heimisch"/>
      <w:bookmarkStart w:id="3" w:name="Fossile_Bewohner_bayerischer_Flüsse"/>
      <w:bookmarkEnd w:id="2"/>
      <w:bookmarkEnd w:id="3"/>
      <w:r w:rsidR="003612CE">
        <w:rPr>
          <w:color w:val="595958"/>
          <w:spacing w:val="-1"/>
          <w:sz w:val="23"/>
          <w:szCs w:val="23"/>
          <w:lang w:val="de-DE"/>
        </w:rPr>
        <w:br/>
      </w:r>
      <w:r>
        <w:rPr>
          <w:i w:val="0"/>
          <w:color w:val="595958"/>
          <w:spacing w:val="-1"/>
          <w:sz w:val="23"/>
          <w:szCs w:val="23"/>
          <w:lang w:val="de-DE"/>
        </w:rPr>
        <w:t>Karauschen sind hinsichtlich ihrer Ernährung sehr flexibel und ernähren sich sowohl von Insekten</w:t>
      </w:r>
      <w:r w:rsidR="00EB6D2C">
        <w:rPr>
          <w:i w:val="0"/>
          <w:color w:val="595958"/>
          <w:spacing w:val="-1"/>
          <w:sz w:val="23"/>
          <w:szCs w:val="23"/>
          <w:lang w:val="de-DE"/>
        </w:rPr>
        <w:t>-</w:t>
      </w:r>
    </w:p>
    <w:p w:rsidR="00415282" w:rsidRDefault="000E534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larven</w:t>
      </w:r>
      <w:proofErr w:type="spellEnd"/>
      <w:r w:rsidR="00E949A1">
        <w:rPr>
          <w:i w:val="0"/>
          <w:color w:val="595958"/>
          <w:spacing w:val="-1"/>
          <w:sz w:val="23"/>
          <w:szCs w:val="23"/>
          <w:lang w:val="de-DE"/>
        </w:rPr>
        <w:t xml:space="preserve">, Schnecken und Würmern </w:t>
      </w:r>
      <w:r>
        <w:rPr>
          <w:i w:val="0"/>
          <w:color w:val="595958"/>
          <w:spacing w:val="-1"/>
          <w:sz w:val="23"/>
          <w:szCs w:val="23"/>
          <w:lang w:val="de-DE"/>
        </w:rPr>
        <w:t>als auch</w:t>
      </w:r>
      <w:r w:rsidR="00E949A1">
        <w:rPr>
          <w:i w:val="0"/>
          <w:color w:val="595958"/>
          <w:spacing w:val="-1"/>
          <w:sz w:val="23"/>
          <w:szCs w:val="23"/>
          <w:lang w:val="de-DE"/>
        </w:rPr>
        <w:t xml:space="preserve"> von pflanzlicher Nahrung.</w:t>
      </w:r>
    </w:p>
    <w:p w:rsidR="00326215" w:rsidRPr="00D314C9" w:rsidRDefault="00480594" w:rsidP="00CC3254">
      <w:pPr>
        <w:spacing w:before="100" w:beforeAutospacing="1" w:after="100" w:afterAutospacing="1"/>
        <w:outlineLvl w:val="1"/>
        <w:rPr>
          <w:i/>
          <w:color w:val="595958"/>
          <w:spacing w:val="-1"/>
          <w:sz w:val="16"/>
          <w:szCs w:val="16"/>
          <w:lang w:val="de-DE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pict>
          <v:group id="_x0000_s1040" style="position:absolute;margin-left:-2.75pt;margin-top:78.2pt;width:477pt;height:.1pt;z-index:251660288" coordorigin="1058,15714" coordsize="9540,2">
            <v:shape id="_x0000_s1041" style="position:absolute;left:1058;top:15714;width:9540;height:2" coordorigin="1058,15714" coordsize="9540,0" path="m1058,15714r9540,e" filled="f">
              <v:path arrowok="t"/>
            </v:shape>
          </v:group>
        </w:pict>
      </w:r>
      <w:r w:rsidR="00594B4E">
        <w:rPr>
          <w:b/>
          <w:color w:val="595958"/>
          <w:spacing w:val="-1"/>
          <w:sz w:val="23"/>
          <w:szCs w:val="23"/>
          <w:lang w:val="de-DE"/>
        </w:rPr>
        <w:t>Gefährd</w:t>
      </w:r>
      <w:r w:rsidR="00594B4E" w:rsidRPr="003D282F">
        <w:rPr>
          <w:b/>
          <w:color w:val="595958"/>
          <w:spacing w:val="-1"/>
          <w:sz w:val="23"/>
          <w:szCs w:val="23"/>
          <w:lang w:val="de-DE"/>
        </w:rPr>
        <w:t>ung</w:t>
      </w:r>
      <w:r w:rsidR="008D5C18">
        <w:rPr>
          <w:b/>
          <w:color w:val="595958"/>
          <w:spacing w:val="-1"/>
          <w:sz w:val="23"/>
          <w:szCs w:val="23"/>
          <w:lang w:val="de-DE"/>
        </w:rPr>
        <w:t xml:space="preserve"> und fischereiliche Bedeutung</w:t>
      </w:r>
      <w:r w:rsidR="00594B4E">
        <w:rPr>
          <w:color w:val="595958"/>
          <w:spacing w:val="-1"/>
          <w:sz w:val="23"/>
          <w:szCs w:val="23"/>
          <w:lang w:val="de-DE"/>
        </w:rPr>
        <w:br/>
      </w:r>
      <w:r w:rsidR="00CC3254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Die Karausche</w:t>
      </w:r>
      <w:r w:rsidR="00EB6D2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ist durch den </w:t>
      </w:r>
      <w:r w:rsidR="003F1A7A" w:rsidRPr="003F1A7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Verlust von Kleingewässern, speziell </w:t>
      </w:r>
      <w:r w:rsidR="00E949A1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von </w:t>
      </w:r>
      <w:r w:rsidR="003F1A7A" w:rsidRPr="003F1A7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Auegewässern</w:t>
      </w:r>
      <w:r w:rsidR="00EB6D2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gefährdet</w:t>
      </w:r>
      <w:r w:rsidR="003F1A7A" w:rsidRPr="003F1A7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. </w:t>
      </w:r>
      <w:r w:rsidR="00E949A1" w:rsidRPr="00E949A1">
        <w:rPr>
          <w:color w:val="595958"/>
          <w:spacing w:val="-1"/>
          <w:sz w:val="23"/>
          <w:szCs w:val="23"/>
          <w:lang w:val="de-DE"/>
        </w:rPr>
        <w:t>D</w:t>
      </w:r>
      <w:r w:rsidR="00E949A1">
        <w:rPr>
          <w:color w:val="595958"/>
          <w:spacing w:val="-1"/>
          <w:sz w:val="23"/>
          <w:szCs w:val="23"/>
          <w:lang w:val="de-DE"/>
        </w:rPr>
        <w:t xml:space="preserve">urch </w:t>
      </w:r>
      <w:r w:rsidR="00CC3254">
        <w:rPr>
          <w:color w:val="595958"/>
          <w:spacing w:val="-1"/>
          <w:sz w:val="23"/>
          <w:szCs w:val="23"/>
          <w:lang w:val="de-DE"/>
        </w:rPr>
        <w:br/>
      </w:r>
      <w:r w:rsidR="00E949A1">
        <w:rPr>
          <w:color w:val="595958"/>
          <w:spacing w:val="-1"/>
          <w:sz w:val="23"/>
          <w:szCs w:val="23"/>
          <w:lang w:val="de-DE"/>
        </w:rPr>
        <w:t xml:space="preserve">die rasante Ausbreitung des Giebels wird sie oftmals unbemerkt von diesem </w:t>
      </w:r>
      <w:r w:rsidR="00E949A1" w:rsidRPr="00E949A1">
        <w:rPr>
          <w:color w:val="595958"/>
          <w:spacing w:val="-1"/>
          <w:sz w:val="23"/>
          <w:szCs w:val="23"/>
          <w:lang w:val="de-DE"/>
        </w:rPr>
        <w:t>verdrängt</w:t>
      </w:r>
      <w:r w:rsidR="00E949A1">
        <w:rPr>
          <w:color w:val="595958"/>
          <w:spacing w:val="-1"/>
          <w:sz w:val="23"/>
          <w:szCs w:val="23"/>
          <w:lang w:val="de-DE"/>
        </w:rPr>
        <w:t xml:space="preserve">. </w:t>
      </w:r>
      <w:r w:rsidR="003F1A7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CC3254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Sie</w:t>
      </w:r>
      <w:r w:rsidR="003F1A7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r w:rsidR="00EB6D2C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schmeckt gut, hat aber viele Gräten, weshalb sie von vielen Anglern nicht gefangen wird.</w:t>
      </w: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94" w:rsidRDefault="00480594" w:rsidP="00F7085D">
      <w:r>
        <w:separator/>
      </w:r>
    </w:p>
  </w:endnote>
  <w:endnote w:type="continuationSeparator" w:id="0">
    <w:p w:rsidR="00480594" w:rsidRDefault="00480594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94" w:rsidRDefault="00480594" w:rsidP="00F7085D">
      <w:r>
        <w:separator/>
      </w:r>
    </w:p>
  </w:footnote>
  <w:footnote w:type="continuationSeparator" w:id="0">
    <w:p w:rsidR="00480594" w:rsidRDefault="00480594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500C"/>
    <w:rsid w:val="0005538E"/>
    <w:rsid w:val="00055BEA"/>
    <w:rsid w:val="00075BDE"/>
    <w:rsid w:val="000850DB"/>
    <w:rsid w:val="000B4D2C"/>
    <w:rsid w:val="000E062C"/>
    <w:rsid w:val="000E534F"/>
    <w:rsid w:val="00130D7B"/>
    <w:rsid w:val="00156990"/>
    <w:rsid w:val="00161920"/>
    <w:rsid w:val="00163DE6"/>
    <w:rsid w:val="001A2CDA"/>
    <w:rsid w:val="001B0FD9"/>
    <w:rsid w:val="001B1D87"/>
    <w:rsid w:val="001E1502"/>
    <w:rsid w:val="002241DB"/>
    <w:rsid w:val="002244B5"/>
    <w:rsid w:val="00226EBE"/>
    <w:rsid w:val="00254DEA"/>
    <w:rsid w:val="00271D4D"/>
    <w:rsid w:val="00276C2C"/>
    <w:rsid w:val="00277FFB"/>
    <w:rsid w:val="00292A9C"/>
    <w:rsid w:val="002A6AB2"/>
    <w:rsid w:val="002C2692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C01AA"/>
    <w:rsid w:val="003C1DE7"/>
    <w:rsid w:val="003D282F"/>
    <w:rsid w:val="003E639D"/>
    <w:rsid w:val="003F1A7A"/>
    <w:rsid w:val="004020E1"/>
    <w:rsid w:val="00402EB2"/>
    <w:rsid w:val="00415282"/>
    <w:rsid w:val="00427FE7"/>
    <w:rsid w:val="00473569"/>
    <w:rsid w:val="00480594"/>
    <w:rsid w:val="0049587D"/>
    <w:rsid w:val="004A7495"/>
    <w:rsid w:val="00557981"/>
    <w:rsid w:val="00563682"/>
    <w:rsid w:val="00594B4E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6696D"/>
    <w:rsid w:val="006945E4"/>
    <w:rsid w:val="006C2623"/>
    <w:rsid w:val="007137D4"/>
    <w:rsid w:val="007205B4"/>
    <w:rsid w:val="00730E50"/>
    <w:rsid w:val="007455BD"/>
    <w:rsid w:val="007850FB"/>
    <w:rsid w:val="007924D2"/>
    <w:rsid w:val="007935CF"/>
    <w:rsid w:val="007F739C"/>
    <w:rsid w:val="00811429"/>
    <w:rsid w:val="00814F06"/>
    <w:rsid w:val="00842079"/>
    <w:rsid w:val="008663CA"/>
    <w:rsid w:val="008677DB"/>
    <w:rsid w:val="00877577"/>
    <w:rsid w:val="008813AC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931164"/>
    <w:rsid w:val="00940F2A"/>
    <w:rsid w:val="00967941"/>
    <w:rsid w:val="0098406D"/>
    <w:rsid w:val="009A7F2C"/>
    <w:rsid w:val="009D5DCB"/>
    <w:rsid w:val="009D6C4F"/>
    <w:rsid w:val="009E12CF"/>
    <w:rsid w:val="009F026F"/>
    <w:rsid w:val="009F41CF"/>
    <w:rsid w:val="00A154F9"/>
    <w:rsid w:val="00A25797"/>
    <w:rsid w:val="00A3153D"/>
    <w:rsid w:val="00A4213A"/>
    <w:rsid w:val="00A452AE"/>
    <w:rsid w:val="00A5572F"/>
    <w:rsid w:val="00A571C0"/>
    <w:rsid w:val="00A77175"/>
    <w:rsid w:val="00AA2C02"/>
    <w:rsid w:val="00AC5F59"/>
    <w:rsid w:val="00AF30C8"/>
    <w:rsid w:val="00B10417"/>
    <w:rsid w:val="00B11580"/>
    <w:rsid w:val="00B13AA3"/>
    <w:rsid w:val="00B330FA"/>
    <w:rsid w:val="00B945E0"/>
    <w:rsid w:val="00BA6771"/>
    <w:rsid w:val="00BB0ABD"/>
    <w:rsid w:val="00BD0947"/>
    <w:rsid w:val="00BF76A2"/>
    <w:rsid w:val="00C30326"/>
    <w:rsid w:val="00C31AB4"/>
    <w:rsid w:val="00C37B4C"/>
    <w:rsid w:val="00C57108"/>
    <w:rsid w:val="00C60C17"/>
    <w:rsid w:val="00C7479C"/>
    <w:rsid w:val="00C83CD8"/>
    <w:rsid w:val="00C8465F"/>
    <w:rsid w:val="00CA4691"/>
    <w:rsid w:val="00CC3254"/>
    <w:rsid w:val="00CE4F46"/>
    <w:rsid w:val="00CE772E"/>
    <w:rsid w:val="00CF7120"/>
    <w:rsid w:val="00D06E93"/>
    <w:rsid w:val="00D12459"/>
    <w:rsid w:val="00D314C9"/>
    <w:rsid w:val="00D35D93"/>
    <w:rsid w:val="00D60704"/>
    <w:rsid w:val="00D60B5B"/>
    <w:rsid w:val="00D844CC"/>
    <w:rsid w:val="00D967C9"/>
    <w:rsid w:val="00DA403F"/>
    <w:rsid w:val="00DD388F"/>
    <w:rsid w:val="00DE141A"/>
    <w:rsid w:val="00E0063E"/>
    <w:rsid w:val="00E074E0"/>
    <w:rsid w:val="00E30400"/>
    <w:rsid w:val="00E45F6C"/>
    <w:rsid w:val="00E70ADF"/>
    <w:rsid w:val="00E90CBB"/>
    <w:rsid w:val="00E949A1"/>
    <w:rsid w:val="00E956E1"/>
    <w:rsid w:val="00EB6D2C"/>
    <w:rsid w:val="00EC1FF0"/>
    <w:rsid w:val="00EC5241"/>
    <w:rsid w:val="00EE0AB3"/>
    <w:rsid w:val="00EE4AFD"/>
    <w:rsid w:val="00EE5197"/>
    <w:rsid w:val="00EE71C5"/>
    <w:rsid w:val="00EF0731"/>
    <w:rsid w:val="00F36C27"/>
    <w:rsid w:val="00F4424A"/>
    <w:rsid w:val="00F7085D"/>
    <w:rsid w:val="00FA13BE"/>
    <w:rsid w:val="00FA7FF9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333966F7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C79F2-6E8D-41C0-84AF-C68FEB67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68</cp:revision>
  <dcterms:created xsi:type="dcterms:W3CDTF">2014-06-03T10:53:00Z</dcterms:created>
  <dcterms:modified xsi:type="dcterms:W3CDTF">2021-01-28T12:47:00Z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