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CD42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292A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58752" behindDoc="0" locked="0" layoutInCell="1" allowOverlap="1" wp14:anchorId="28C2B541" wp14:editId="50B05947">
            <wp:simplePos x="0" y="0"/>
            <wp:positionH relativeFrom="column">
              <wp:posOffset>4258945</wp:posOffset>
            </wp:positionH>
            <wp:positionV relativeFrom="paragraph">
              <wp:posOffset>12700</wp:posOffset>
            </wp:positionV>
            <wp:extent cx="730192" cy="752475"/>
            <wp:effectExtent l="0" t="0" r="0" b="0"/>
            <wp:wrapNone/>
            <wp:docPr id="4" name="Grafik 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2EC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CD42EC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</w:p>
    <w:p w:rsidR="008B5B24" w:rsidRPr="00D35D93" w:rsidRDefault="00CD42EC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415282">
        <w:rPr>
          <w:color w:val="818181"/>
          <w:spacing w:val="-1"/>
          <w:sz w:val="24"/>
        </w:rPr>
        <w:t>ie</w:t>
      </w:r>
      <w:r w:rsidR="001A2CDA">
        <w:rPr>
          <w:color w:val="818181"/>
          <w:spacing w:val="-1"/>
          <w:sz w:val="24"/>
        </w:rPr>
        <w:t xml:space="preserve"> </w:t>
      </w:r>
      <w:proofErr w:type="spellStart"/>
      <w:r w:rsidR="004F4C8B">
        <w:rPr>
          <w:color w:val="818181"/>
          <w:spacing w:val="-1"/>
          <w:sz w:val="24"/>
        </w:rPr>
        <w:t>Seesaibling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4F4C8B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5143500" cy="18073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saibling 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788" cy="181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DA" w:rsidRDefault="00C57108" w:rsidP="00BA6771">
      <w:pPr>
        <w:pStyle w:val="berschrift11"/>
        <w:spacing w:line="293" w:lineRule="exact"/>
        <w:ind w:left="0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Forellenfische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FA7FF9">
        <w:rPr>
          <w:i w:val="0"/>
          <w:color w:val="595958"/>
          <w:spacing w:val="-1"/>
          <w:sz w:val="23"/>
          <w:szCs w:val="23"/>
          <w:lang w:val="de-DE"/>
        </w:rPr>
        <w:t>Salmonidae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Sa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iblinge (</w:t>
      </w:r>
      <w:proofErr w:type="spellStart"/>
      <w:r w:rsidR="004F4C8B">
        <w:rPr>
          <w:i w:val="0"/>
          <w:color w:val="595958"/>
          <w:spacing w:val="-1"/>
          <w:sz w:val="23"/>
          <w:szCs w:val="23"/>
          <w:lang w:val="de-DE"/>
        </w:rPr>
        <w:t>Salvelinus</w:t>
      </w:r>
      <w:proofErr w:type="spellEnd"/>
      <w:r w:rsidR="004F4C8B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A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Seesaibling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FA7FF9">
        <w:rPr>
          <w:i w:val="0"/>
          <w:color w:val="595958"/>
          <w:spacing w:val="-1"/>
          <w:sz w:val="23"/>
          <w:szCs w:val="23"/>
          <w:lang w:val="de-DE"/>
        </w:rPr>
        <w:t>Sal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velinus</w:t>
      </w:r>
      <w:proofErr w:type="spellEnd"/>
      <w:r w:rsid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4F4C8B">
        <w:rPr>
          <w:i w:val="0"/>
          <w:color w:val="595958"/>
          <w:spacing w:val="-1"/>
          <w:sz w:val="23"/>
          <w:szCs w:val="23"/>
          <w:lang w:val="de-DE"/>
        </w:rPr>
        <w:t>umbla</w:t>
      </w:r>
      <w:proofErr w:type="spellEnd"/>
      <w:r w:rsidR="004F4C8B">
        <w:rPr>
          <w:i w:val="0"/>
          <w:color w:val="595958"/>
          <w:spacing w:val="-1"/>
          <w:sz w:val="23"/>
          <w:szCs w:val="23"/>
          <w:lang w:val="de-DE"/>
        </w:rPr>
        <w:t>/</w:t>
      </w:r>
      <w:proofErr w:type="spellStart"/>
      <w:r w:rsidR="004F4C8B">
        <w:rPr>
          <w:i w:val="0"/>
          <w:color w:val="595958"/>
          <w:spacing w:val="-1"/>
          <w:sz w:val="23"/>
          <w:szCs w:val="23"/>
          <w:lang w:val="de-DE"/>
        </w:rPr>
        <w:t>alpinus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25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4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gramStart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cm</w:t>
      </w:r>
      <w:r w:rsidR="00592608">
        <w:rPr>
          <w:i w:val="0"/>
          <w:color w:val="595958"/>
          <w:spacing w:val="-1"/>
          <w:sz w:val="23"/>
          <w:szCs w:val="23"/>
          <w:lang w:val="de-DE"/>
        </w:rPr>
        <w:t>;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max.</w:t>
      </w:r>
      <w:proofErr w:type="gramEnd"/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80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 xml:space="preserve"> (je nach Formengruppe)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Okto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 xml:space="preserve">ber 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–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 xml:space="preserve">Dezember </w:t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>(je nach Formengruppe)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1A2CDA" w:rsidRPr="004F4C8B" w:rsidRDefault="00DA403F" w:rsidP="001A2CDA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 w:rsidRPr="004F4C8B"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</w:p>
    <w:p w:rsidR="00592608" w:rsidRDefault="004F4C8B" w:rsidP="004F4C8B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Seesaibling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besitzt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einen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spindelförmigen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im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Querschnitt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fast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runden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Körper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mit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schlankem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Schwanzstiel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Die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Färbung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ist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sehr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variabel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und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vom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Lebensraum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abhängig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Die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Vorderränder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paarigen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Flossen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und 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Afterflosse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sind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weiß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gesäumt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Die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Schwanzflosse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ist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deutlich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eingebuchtet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</w:p>
    <w:p w:rsidR="00592608" w:rsidRDefault="004F4C8B" w:rsidP="004F4C8B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Das Schuppenkleid ist am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Rücken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und an den Seiten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graugrün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blaugrün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oder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bräunlich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mit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gelblichen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Punkten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Die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Bauchseite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ist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gelborange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bis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weißlich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besitzt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eine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weite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Maulspalte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>. Zur Laichzeit ist</w:t>
      </w:r>
    </w:p>
    <w:p w:rsidR="00592608" w:rsidRDefault="004F4C8B" w:rsidP="004F4C8B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die Bauchseite des Milchners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leuchtend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rot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gefärbt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Ältere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Milchner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können einen deutlichen Laich</w:t>
      </w:r>
      <w:r w:rsidR="00592608">
        <w:rPr>
          <w:i w:val="0"/>
          <w:color w:val="595958"/>
          <w:spacing w:val="-1"/>
          <w:sz w:val="23"/>
          <w:szCs w:val="23"/>
          <w:lang w:val="de-DE"/>
        </w:rPr>
        <w:t>-</w:t>
      </w:r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haken ausbilden. </w:t>
      </w:r>
      <w:r w:rsidRPr="004F4C8B">
        <w:rPr>
          <w:i w:val="0"/>
          <w:color w:val="595958"/>
          <w:spacing w:val="-1"/>
          <w:sz w:val="23"/>
          <w:szCs w:val="23"/>
          <w:lang w:val="de-DE"/>
        </w:rPr>
        <w:br/>
      </w:r>
      <w:r w:rsidR="00EE71C5" w:rsidRPr="00594B4E">
        <w:rPr>
          <w:i w:val="0"/>
          <w:color w:val="595958"/>
          <w:spacing w:val="-1"/>
          <w:sz w:val="23"/>
          <w:szCs w:val="23"/>
          <w:lang w:val="de-DE"/>
        </w:rPr>
        <w:br/>
      </w:r>
      <w:r w:rsidR="00075BDE" w:rsidRPr="004F4C8B">
        <w:rPr>
          <w:b/>
          <w:i w:val="0"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Seesaibling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Alpenseen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ist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ein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Relikt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letzten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Eiszeit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Hier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haben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sich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im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Laufe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der Zeit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lokal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angepasste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Formen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entwickelt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die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sich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im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Aussehen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Färbung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dem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Wachstum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der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Lebensweise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592608" w:rsidRDefault="004F4C8B" w:rsidP="004F4C8B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und der Ernährung unterscheiden. Lebensraum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sind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tiefe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kalte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und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sauerstoffreiche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Gebirgsseen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</w:p>
    <w:p w:rsidR="00592608" w:rsidRDefault="004F4C8B" w:rsidP="004F4C8B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F4C8B">
        <w:rPr>
          <w:i w:val="0"/>
          <w:color w:val="595958"/>
          <w:spacing w:val="-1"/>
          <w:sz w:val="23"/>
          <w:szCs w:val="23"/>
          <w:lang w:val="de-DE"/>
        </w:rPr>
        <w:t>Der „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Schwarzreuther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“ stellt eine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Hungerform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dar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die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eine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Größe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von 20 cm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kaum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überschreitet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</w:p>
    <w:p w:rsidR="00AA2C02" w:rsidRDefault="004F4C8B" w:rsidP="004F4C8B">
      <w:pPr>
        <w:pStyle w:val="berschrift11"/>
        <w:spacing w:line="293" w:lineRule="exact"/>
        <w:ind w:left="0"/>
        <w:rPr>
          <w:b/>
          <w:color w:val="595958"/>
          <w:spacing w:val="-1"/>
          <w:sz w:val="23"/>
          <w:szCs w:val="23"/>
          <w:lang w:val="de-DE"/>
        </w:rPr>
      </w:pPr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Neben den „normalen Saiblingen“ gibt es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noch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„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Wildfangsaiblinge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“. So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bezeichnet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man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großwüchsige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Seesaiblinge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, die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sich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räuberisch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von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Fischen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4F4C8B">
        <w:rPr>
          <w:i w:val="0"/>
          <w:color w:val="595958"/>
          <w:spacing w:val="-1"/>
          <w:sz w:val="23"/>
          <w:szCs w:val="23"/>
          <w:lang w:val="de-DE"/>
        </w:rPr>
        <w:t>ernähren</w:t>
      </w:r>
      <w:proofErr w:type="spellEnd"/>
      <w:r w:rsidRPr="004F4C8B">
        <w:rPr>
          <w:i w:val="0"/>
          <w:color w:val="595958"/>
          <w:spacing w:val="-1"/>
          <w:sz w:val="23"/>
          <w:szCs w:val="23"/>
          <w:lang w:val="de-DE"/>
        </w:rPr>
        <w:t>.</w:t>
      </w:r>
      <w:r w:rsidRPr="004F4C8B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415282" w:rsidRDefault="00606F2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4F4C8B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1" w:name="Einst_in_Bayern_heimisch"/>
      <w:bookmarkStart w:id="2" w:name="Fossile_Bewohner_bayerischer_Flüsse"/>
      <w:bookmarkEnd w:id="1"/>
      <w:bookmarkEnd w:id="2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4F4C8B">
        <w:rPr>
          <w:i w:val="0"/>
          <w:color w:val="595958"/>
          <w:spacing w:val="-1"/>
          <w:sz w:val="23"/>
          <w:szCs w:val="23"/>
          <w:lang w:val="de-DE"/>
        </w:rPr>
        <w:t xml:space="preserve">Die Ernährung der Seesaiblinge ist so unterschiedlich wie diese Fische selbst. Sie fressen </w:t>
      </w:r>
      <w:r w:rsidR="004F4C8B"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Zooplankton, </w:t>
      </w:r>
      <w:r w:rsidR="00592608">
        <w:rPr>
          <w:i w:val="0"/>
          <w:color w:val="595958"/>
          <w:spacing w:val="-1"/>
          <w:sz w:val="23"/>
          <w:szCs w:val="23"/>
          <w:lang w:val="de-DE"/>
        </w:rPr>
        <w:t>Insektenlarven, Anflugnahrung, Kleintiere</w:t>
      </w:r>
      <w:r w:rsidR="004F4C8B"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und Fische (je </w:t>
      </w:r>
      <w:proofErr w:type="spellStart"/>
      <w:r w:rsidR="004F4C8B" w:rsidRPr="004F4C8B">
        <w:rPr>
          <w:i w:val="0"/>
          <w:color w:val="595958"/>
          <w:spacing w:val="-1"/>
          <w:sz w:val="23"/>
          <w:szCs w:val="23"/>
          <w:lang w:val="de-DE"/>
        </w:rPr>
        <w:t>nach</w:t>
      </w:r>
      <w:proofErr w:type="spellEnd"/>
      <w:r w:rsidR="004F4C8B" w:rsidRPr="004F4C8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4F4C8B" w:rsidRPr="004F4C8B">
        <w:rPr>
          <w:i w:val="0"/>
          <w:color w:val="595958"/>
          <w:spacing w:val="-1"/>
          <w:sz w:val="23"/>
          <w:szCs w:val="23"/>
          <w:lang w:val="de-DE"/>
        </w:rPr>
        <w:t>Formengruppe</w:t>
      </w:r>
      <w:proofErr w:type="spellEnd"/>
      <w:r w:rsidR="004F4C8B" w:rsidRPr="004F4C8B">
        <w:rPr>
          <w:i w:val="0"/>
          <w:color w:val="595958"/>
          <w:spacing w:val="-1"/>
          <w:sz w:val="23"/>
          <w:szCs w:val="23"/>
          <w:lang w:val="de-DE"/>
        </w:rPr>
        <w:t>).</w:t>
      </w:r>
      <w:r w:rsidR="004F4C8B" w:rsidRPr="004F4C8B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592608" w:rsidRPr="00592608" w:rsidRDefault="004F4C8B" w:rsidP="004F4C8B">
      <w:pPr>
        <w:spacing w:before="100" w:beforeAutospacing="1" w:after="100" w:afterAutospacing="1"/>
        <w:outlineLvl w:val="1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pict>
          <v:group id="_x0000_s1040" style="position:absolute;margin-left:-2.65pt;margin-top:109.7pt;width:477pt;height:.1pt;z-index:251660288" coordorigin="1058,15714" coordsize="9540,2">
            <v:shape id="_x0000_s1041" style="position:absolute;left:1058;top:15714;width:9540;height:2" coordorigin="1058,15714" coordsize="9540,0" path="m1058,15714r9540,e" filled="f">
              <v:path arrowok="t"/>
            </v:shape>
          </v:group>
        </w:pict>
      </w:r>
      <w:r w:rsidR="00594B4E">
        <w:rPr>
          <w:b/>
          <w:color w:val="595958"/>
          <w:spacing w:val="-1"/>
          <w:sz w:val="23"/>
          <w:szCs w:val="23"/>
          <w:lang w:val="de-DE"/>
        </w:rPr>
        <w:t>Gefährd</w:t>
      </w:r>
      <w:r w:rsidR="00594B4E" w:rsidRPr="003D282F">
        <w:rPr>
          <w:b/>
          <w:color w:val="595958"/>
          <w:spacing w:val="-1"/>
          <w:sz w:val="23"/>
          <w:szCs w:val="23"/>
          <w:lang w:val="de-DE"/>
        </w:rPr>
        <w:t>ung</w:t>
      </w:r>
      <w:r w:rsidR="008D5C18">
        <w:rPr>
          <w:b/>
          <w:color w:val="595958"/>
          <w:spacing w:val="-1"/>
          <w:sz w:val="23"/>
          <w:szCs w:val="23"/>
          <w:lang w:val="de-DE"/>
        </w:rPr>
        <w:t xml:space="preserve"> und fischereiliche Bedeutung</w:t>
      </w:r>
      <w:r w:rsidR="00594B4E">
        <w:rPr>
          <w:color w:val="595958"/>
          <w:spacing w:val="-1"/>
          <w:sz w:val="23"/>
          <w:szCs w:val="23"/>
          <w:lang w:val="de-DE"/>
        </w:rPr>
        <w:br/>
      </w:r>
      <w:proofErr w:type="spellStart"/>
      <w:r w:rsidRPr="004F4C8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Eutrophierung</w:t>
      </w:r>
      <w:proofErr w:type="spellEnd"/>
      <w:r w:rsidRPr="004F4C8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der </w:t>
      </w:r>
      <w:proofErr w:type="spellStart"/>
      <w:r w:rsidRPr="004F4C8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Gewässer</w:t>
      </w:r>
      <w:proofErr w:type="spellEnd"/>
      <w:r w:rsidRPr="004F4C8B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und Verlust der Laichplätze.</w:t>
      </w:r>
      <w:r w:rsidR="0059260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  <w:t xml:space="preserve">Der Seesaibling ist sowohl in der Angel- als auch </w:t>
      </w:r>
      <w:bookmarkStart w:id="3" w:name="_GoBack"/>
      <w:bookmarkEnd w:id="3"/>
      <w:r w:rsidR="00592608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in der Berufsfischerei von Bedeutung.</w:t>
      </w:r>
    </w:p>
    <w:sectPr w:rsidR="00592608" w:rsidRPr="00592608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EC" w:rsidRDefault="00CD42EC" w:rsidP="00F7085D">
      <w:r>
        <w:separator/>
      </w:r>
    </w:p>
  </w:endnote>
  <w:endnote w:type="continuationSeparator" w:id="0">
    <w:p w:rsidR="00CD42EC" w:rsidRDefault="00CD42EC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EC" w:rsidRDefault="00CD42EC" w:rsidP="00F7085D">
      <w:r>
        <w:separator/>
      </w:r>
    </w:p>
  </w:footnote>
  <w:footnote w:type="continuationSeparator" w:id="0">
    <w:p w:rsidR="00CD42EC" w:rsidRDefault="00CD42EC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500C"/>
    <w:rsid w:val="0005538E"/>
    <w:rsid w:val="00055BEA"/>
    <w:rsid w:val="00075BDE"/>
    <w:rsid w:val="000850DB"/>
    <w:rsid w:val="000B4D2C"/>
    <w:rsid w:val="000E062C"/>
    <w:rsid w:val="00130D7B"/>
    <w:rsid w:val="00156990"/>
    <w:rsid w:val="00161920"/>
    <w:rsid w:val="00163DE6"/>
    <w:rsid w:val="001A2CDA"/>
    <w:rsid w:val="001B0FD9"/>
    <w:rsid w:val="001B1D87"/>
    <w:rsid w:val="001E1502"/>
    <w:rsid w:val="002241DB"/>
    <w:rsid w:val="002244B5"/>
    <w:rsid w:val="00226EBE"/>
    <w:rsid w:val="00254DEA"/>
    <w:rsid w:val="00271D4D"/>
    <w:rsid w:val="00276C2C"/>
    <w:rsid w:val="00277FFB"/>
    <w:rsid w:val="00292A9C"/>
    <w:rsid w:val="002A6AB2"/>
    <w:rsid w:val="002C2692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C01AA"/>
    <w:rsid w:val="003D282F"/>
    <w:rsid w:val="003E639D"/>
    <w:rsid w:val="00402EB2"/>
    <w:rsid w:val="00415282"/>
    <w:rsid w:val="00427FE7"/>
    <w:rsid w:val="00473569"/>
    <w:rsid w:val="0049587D"/>
    <w:rsid w:val="004A7495"/>
    <w:rsid w:val="004F4C8B"/>
    <w:rsid w:val="00592608"/>
    <w:rsid w:val="00594B4E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945E4"/>
    <w:rsid w:val="006C2623"/>
    <w:rsid w:val="007137D4"/>
    <w:rsid w:val="007205B4"/>
    <w:rsid w:val="00730E50"/>
    <w:rsid w:val="007455BD"/>
    <w:rsid w:val="007850FB"/>
    <w:rsid w:val="007924D2"/>
    <w:rsid w:val="007935CF"/>
    <w:rsid w:val="00811429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931164"/>
    <w:rsid w:val="00940F2A"/>
    <w:rsid w:val="0098406D"/>
    <w:rsid w:val="009A7F2C"/>
    <w:rsid w:val="009D5DCB"/>
    <w:rsid w:val="009E12CF"/>
    <w:rsid w:val="009F026F"/>
    <w:rsid w:val="009F41CF"/>
    <w:rsid w:val="00A154F9"/>
    <w:rsid w:val="00A25797"/>
    <w:rsid w:val="00A3153D"/>
    <w:rsid w:val="00A4213A"/>
    <w:rsid w:val="00A452AE"/>
    <w:rsid w:val="00A5572F"/>
    <w:rsid w:val="00A571C0"/>
    <w:rsid w:val="00A77175"/>
    <w:rsid w:val="00AA2C02"/>
    <w:rsid w:val="00AC5F59"/>
    <w:rsid w:val="00AF30C8"/>
    <w:rsid w:val="00B10417"/>
    <w:rsid w:val="00B11580"/>
    <w:rsid w:val="00B13AA3"/>
    <w:rsid w:val="00B330FA"/>
    <w:rsid w:val="00B945E0"/>
    <w:rsid w:val="00BA6771"/>
    <w:rsid w:val="00BB0ABD"/>
    <w:rsid w:val="00BF76A2"/>
    <w:rsid w:val="00C30326"/>
    <w:rsid w:val="00C31AB4"/>
    <w:rsid w:val="00C57108"/>
    <w:rsid w:val="00C7479C"/>
    <w:rsid w:val="00C83CD8"/>
    <w:rsid w:val="00C8465F"/>
    <w:rsid w:val="00CA4691"/>
    <w:rsid w:val="00CD42EC"/>
    <w:rsid w:val="00CE4F46"/>
    <w:rsid w:val="00CE772E"/>
    <w:rsid w:val="00CF7120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063E"/>
    <w:rsid w:val="00E074E0"/>
    <w:rsid w:val="00E30400"/>
    <w:rsid w:val="00E45F6C"/>
    <w:rsid w:val="00E70ADF"/>
    <w:rsid w:val="00E90CBB"/>
    <w:rsid w:val="00E956E1"/>
    <w:rsid w:val="00EC1FF0"/>
    <w:rsid w:val="00EC5241"/>
    <w:rsid w:val="00EE4AFD"/>
    <w:rsid w:val="00EE5197"/>
    <w:rsid w:val="00EE71C5"/>
    <w:rsid w:val="00EF0731"/>
    <w:rsid w:val="00F36C27"/>
    <w:rsid w:val="00F4424A"/>
    <w:rsid w:val="00F7085D"/>
    <w:rsid w:val="00FA13BE"/>
    <w:rsid w:val="00FA7FF9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41569554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7EE10-FD54-4F46-9C9A-9A23F43D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62</cp:revision>
  <dcterms:created xsi:type="dcterms:W3CDTF">2014-06-03T10:53:00Z</dcterms:created>
  <dcterms:modified xsi:type="dcterms:W3CDTF">2019-11-04T13:16:00Z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